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bookmarkStart w:id="0" w:name="_GoBack"/>
      <w:bookmarkEnd w:id="0"/>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702E1B">
        <w:rPr>
          <w:rFonts w:ascii="Times New Roman" w:eastAsia="Times New Roman" w:hAnsi="Times New Roman"/>
          <w:b/>
          <w:bCs/>
          <w:color w:val="000000"/>
          <w:spacing w:val="1"/>
          <w:sz w:val="24"/>
          <w:szCs w:val="24"/>
          <w:lang w:eastAsia="ru-RU"/>
        </w:rPr>
        <w:t>ЛЕГЕНДЫ ТАВРИДЫ</w:t>
      </w:r>
      <w:r>
        <w:rPr>
          <w:rFonts w:ascii="Times New Roman" w:eastAsia="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B77815"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6-9</w:t>
      </w:r>
      <w:r w:rsidR="00702E1B">
        <w:rPr>
          <w:rFonts w:ascii="Times New Roman" w:eastAsia="Times New Roman" w:hAnsi="Times New Roman"/>
          <w:b/>
          <w:bCs/>
          <w:color w:val="000000"/>
          <w:spacing w:val="1"/>
          <w:sz w:val="24"/>
          <w:szCs w:val="24"/>
          <w:lang w:eastAsia="ru-RU"/>
        </w:rPr>
        <w:t xml:space="preserve"> мая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sidR="008450A2">
        <w:rPr>
          <w:rFonts w:ascii="Times New Roman" w:eastAsia="Times New Roman" w:hAnsi="Times New Roman"/>
          <w:b/>
          <w:bCs/>
          <w:color w:val="000000"/>
          <w:spacing w:val="1"/>
          <w:sz w:val="24"/>
          <w:szCs w:val="24"/>
          <w:lang w:eastAsia="ru-RU"/>
        </w:rPr>
        <w:t xml:space="preserve"> г.     </w:t>
      </w:r>
      <w:r w:rsidR="00BF2509">
        <w:rPr>
          <w:rFonts w:ascii="Times New Roman" w:eastAsia="Times New Roman" w:hAnsi="Times New Roman"/>
          <w:b/>
          <w:bCs/>
          <w:color w:val="000000"/>
          <w:spacing w:val="1"/>
          <w:sz w:val="24"/>
          <w:szCs w:val="24"/>
          <w:lang w:eastAsia="ru-RU"/>
        </w:rPr>
        <w:t xml:space="preserve">      </w:t>
      </w:r>
      <w:r w:rsidR="00AE2BAF">
        <w:rPr>
          <w:rFonts w:ascii="Times New Roman" w:eastAsia="Times New Roman" w:hAnsi="Times New Roman"/>
          <w:b/>
          <w:bCs/>
          <w:color w:val="000000"/>
          <w:spacing w:val="1"/>
          <w:sz w:val="24"/>
          <w:szCs w:val="24"/>
          <w:lang w:eastAsia="ru-RU"/>
        </w:rPr>
        <w:t xml:space="preserve"> </w:t>
      </w:r>
      <w:r w:rsidR="00BF2509">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w:t>
      </w:r>
      <w:r w:rsidR="004F0614">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       </w:t>
      </w:r>
    </w:p>
    <w:p w:rsidR="00715C84" w:rsidRDefault="008450A2" w:rsidP="00F031DE">
      <w:pPr>
        <w:shd w:val="clear" w:color="auto" w:fill="FFFFFF"/>
        <w:spacing w:after="0" w:line="240" w:lineRule="auto"/>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город Ялта, ул. Дражинского, 50, </w:t>
      </w:r>
      <w:hyperlink r:id="rId6"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7">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w:t>
      </w:r>
      <w:r w:rsidR="00F031DE">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4*</w:t>
      </w:r>
      <w:r>
        <w:rPr>
          <w:rFonts w:ascii="Times New Roman" w:eastAsia="Times New Roman" w:hAnsi="Times New Roman"/>
          <w:color w:val="000000"/>
          <w:spacing w:val="1"/>
          <w:sz w:val="24"/>
          <w:szCs w:val="24"/>
          <w:lang w:eastAsia="ru-RU"/>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B77815">
        <w:rPr>
          <w:rFonts w:ascii="Times New Roman" w:eastAsia="Times New Roman" w:hAnsi="Times New Roman"/>
          <w:color w:val="000000"/>
          <w:spacing w:val="1"/>
          <w:sz w:val="24"/>
          <w:szCs w:val="24"/>
          <w:lang w:eastAsia="ru-RU"/>
        </w:rPr>
        <w:t> до 20</w:t>
      </w:r>
      <w:r>
        <w:rPr>
          <w:rFonts w:ascii="Times New Roman" w:eastAsia="Times New Roman" w:hAnsi="Times New Roman"/>
          <w:color w:val="000000"/>
          <w:spacing w:val="1"/>
          <w:sz w:val="24"/>
          <w:szCs w:val="24"/>
          <w:lang w:eastAsia="ru-RU"/>
        </w:rPr>
        <w:t xml:space="preserve"> </w:t>
      </w:r>
      <w:r w:rsidR="00B77815">
        <w:rPr>
          <w:rFonts w:ascii="Times New Roman" w:eastAsia="Times New Roman" w:hAnsi="Times New Roman"/>
          <w:color w:val="000000"/>
          <w:spacing w:val="1"/>
          <w:sz w:val="24"/>
          <w:szCs w:val="24"/>
          <w:lang w:eastAsia="ru-RU"/>
        </w:rPr>
        <w:t xml:space="preserve">апреля </w:t>
      </w:r>
      <w:r>
        <w:rPr>
          <w:rFonts w:ascii="Times New Roman" w:eastAsia="Times New Roman" w:hAnsi="Times New Roman"/>
          <w:color w:val="000000"/>
          <w:spacing w:val="1"/>
          <w:sz w:val="24"/>
          <w:szCs w:val="24"/>
          <w:lang w:eastAsia="ru-RU"/>
        </w:rPr>
        <w:t>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фирма ООО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rsidR="00684925" w:rsidRP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w:t>
      </w:r>
      <w:r w:rsidR="008450A2">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Министерство культуры РФ (приказ №18-7913 от 1 марта 2018 г.);</w:t>
      </w:r>
    </w:p>
    <w:p w:rsid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sidRPr="00684925">
        <w:rPr>
          <w:rFonts w:ascii="Times New Roman" w:eastAsia="Times New Roman" w:hAnsi="Times New Roman"/>
          <w:b/>
          <w:bCs/>
          <w:color w:val="000000"/>
          <w:spacing w:val="1"/>
          <w:sz w:val="24"/>
          <w:szCs w:val="24"/>
          <w:lang w:eastAsia="ru-RU"/>
        </w:rPr>
        <w:t>-</w:t>
      </w:r>
      <w:r>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 xml:space="preserve"> Комитет Совета Федерации по науке, образованию и культуре (приказ №8.9-27/452 от 17  марта 2020 г.);</w:t>
      </w:r>
    </w:p>
    <w:p w:rsidR="00715C84" w:rsidRDefault="00753742" w:rsidP="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E551EE">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val="en-US" w:eastAsia="ru-RU"/>
        </w:rPr>
        <w:t>w</w:t>
      </w:r>
      <w:r w:rsidR="008450A2">
        <w:rPr>
          <w:rFonts w:ascii="Times New Roman" w:eastAsia="Times New Roman" w:hAnsi="Times New Roman"/>
          <w:color w:val="000000"/>
          <w:spacing w:val="1"/>
          <w:sz w:val="24"/>
          <w:szCs w:val="24"/>
          <w:lang w:eastAsia="ru-RU"/>
        </w:rPr>
        <w:t>eb-издательство «Век информации» (г. Москва);</w:t>
      </w:r>
    </w:p>
    <w:p w:rsidR="00715C84" w:rsidRDefault="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газета «Тан</w:t>
      </w:r>
      <w:r>
        <w:rPr>
          <w:rFonts w:ascii="Times New Roman" w:eastAsia="Times New Roman" w:hAnsi="Times New Roman"/>
          <w:color w:val="000000"/>
          <w:spacing w:val="1"/>
          <w:sz w:val="24"/>
          <w:szCs w:val="24"/>
          <w:lang w:eastAsia="ru-RU"/>
        </w:rPr>
        <w:t>цевальный Клондайк» (г. Москва);</w:t>
      </w:r>
    </w:p>
    <w:p w:rsidR="00684925" w:rsidRP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журнал «Карнавалы, фестивали, праздники» (г. Москва);</w:t>
      </w:r>
    </w:p>
    <w:p w:rsid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eastAsia="ru-RU"/>
        </w:rPr>
        <w:t>к</w:t>
      </w:r>
      <w:r w:rsidRPr="00684925">
        <w:rPr>
          <w:rFonts w:ascii="Times New Roman" w:eastAsia="Times New Roman" w:hAnsi="Times New Roman"/>
          <w:color w:val="000000"/>
          <w:spacing w:val="1"/>
          <w:sz w:val="24"/>
          <w:szCs w:val="24"/>
          <w:lang w:eastAsia="ru-RU"/>
        </w:rPr>
        <w:t>омпании «Арт-центр», «Российские конкурсы», «FestivalStarCentr».</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xml:space="preserve">–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w:t>
      </w:r>
      <w:r>
        <w:rPr>
          <w:rFonts w:ascii="Times New Roman" w:eastAsia="Times New Roman" w:hAnsi="Times New Roman"/>
          <w:color w:val="000000"/>
          <w:spacing w:val="1"/>
          <w:sz w:val="24"/>
          <w:szCs w:val="24"/>
          <w:lang w:eastAsia="ru-RU"/>
        </w:rPr>
        <w:lastRenderedPageBreak/>
        <w:t>вокальных студий; государственных и негосударственных  образовательных учреждений, а так же учреждений дополнительного образования.</w:t>
      </w:r>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джазовый,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 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 xml:space="preserve"> ;</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заявленной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Живопись /масло, акварель, гуашь, пастель, смешанная техника. Графика/рисунок, художественные печатные изображения (гравюра, литография, монотипия и др.), плакат, карикатура и т.п.</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 (-) 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r>
        <w:rPr>
          <w:rFonts w:ascii="Times New Roman" w:eastAsia="Times New Roman" w:hAnsi="Times New Roman"/>
          <w:color w:val="000000"/>
          <w:spacing w:val="1"/>
          <w:sz w:val="24"/>
          <w:szCs w:val="24"/>
          <w:lang w:val="en-US" w:eastAsia="ru-RU"/>
        </w:rPr>
        <w:t>piligrym</w:t>
      </w:r>
      <w:r>
        <w:rPr>
          <w:rFonts w:ascii="Times New Roman" w:eastAsia="Times New Roman" w:hAnsi="Times New Roman"/>
          <w:color w:val="000000"/>
          <w:spacing w:val="1"/>
          <w:sz w:val="24"/>
          <w:szCs w:val="24"/>
          <w:lang w:eastAsia="ru-RU"/>
        </w:rPr>
        <w:t>_</w:t>
      </w:r>
      <w:r>
        <w:rPr>
          <w:rFonts w:ascii="Times New Roman" w:eastAsia="Times New Roman" w:hAnsi="Times New Roman"/>
          <w:color w:val="000000"/>
          <w:spacing w:val="1"/>
          <w:sz w:val="24"/>
          <w:szCs w:val="24"/>
          <w:lang w:val="en-US" w:eastAsia="ru-RU"/>
        </w:rPr>
        <w:t>tur</w:t>
      </w:r>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ru</w:t>
      </w:r>
      <w:r>
        <w:rPr>
          <w:rFonts w:ascii="Times New Roman" w:eastAsia="Times New Roman" w:hAnsi="Times New Roman"/>
          <w:color w:val="000000"/>
          <w:spacing w:val="1"/>
          <w:sz w:val="24"/>
          <w:szCs w:val="24"/>
          <w:lang w:eastAsia="ru-RU"/>
        </w:rPr>
        <w:t xml:space="preserve"> не позднее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голосовое или инструментальное (караоке) дублирование основных партий для солистов, прописанный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согласно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86093">
        <w:rPr>
          <w:rFonts w:ascii="Times New Roman" w:eastAsia="Times New Roman" w:hAnsi="Times New Roman"/>
          <w:b/>
          <w:bCs/>
          <w:color w:val="000000"/>
          <w:spacing w:val="1"/>
          <w:sz w:val="24"/>
          <w:szCs w:val="24"/>
          <w:lang w:eastAsia="ru-RU"/>
        </w:rPr>
        <w:t>20</w:t>
      </w:r>
      <w:r>
        <w:rPr>
          <w:rFonts w:ascii="Times New Roman" w:eastAsia="Times New Roman" w:hAnsi="Times New Roman"/>
          <w:b/>
          <w:bCs/>
          <w:color w:val="000000"/>
          <w:spacing w:val="1"/>
          <w:sz w:val="24"/>
          <w:szCs w:val="24"/>
          <w:lang w:eastAsia="ru-RU"/>
        </w:rPr>
        <w:t>+1 бесплатно.</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фитнес-центром,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8438"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2470"/>
        <w:gridCol w:w="2551"/>
        <w:gridCol w:w="3417"/>
      </w:tblGrid>
      <w:tr w:rsidR="00B77815" w:rsidTr="00B77815">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napToGrid w:val="0"/>
              <w:jc w:val="center"/>
              <w:rPr>
                <w:rFonts w:ascii="Times New Roman" w:hAnsi="Times New Roman"/>
                <w:color w:val="000000"/>
                <w:spacing w:val="1"/>
                <w:sz w:val="24"/>
                <w:szCs w:val="24"/>
                <w:lang w:eastAsia="ru-RU"/>
              </w:rPr>
            </w:pP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E551EE">
            <w:pPr>
              <w:jc w:val="center"/>
            </w:pPr>
            <w:r w:rsidRPr="00B77815">
              <w:rPr>
                <w:rFonts w:ascii="Times New Roman" w:hAnsi="Times New Roman"/>
                <w:color w:val="000000"/>
                <w:spacing w:val="1"/>
                <w:sz w:val="24"/>
                <w:szCs w:val="24"/>
                <w:lang w:eastAsia="ru-RU"/>
              </w:rPr>
              <w:t>4 дня</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77815">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15 500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77815">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lastRenderedPageBreak/>
              <w:t>СТАНДАРТ 2-х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16 500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6E4DCA" w:rsidRDefault="006E4DCA" w:rsidP="006E4DCA">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 xml:space="preserve">СТОИМОСТЬ УЧАСТИЯ В </w:t>
      </w:r>
      <w:r>
        <w:rPr>
          <w:rFonts w:ascii="Times New Roman" w:eastAsia="Times New Roman" w:hAnsi="Times New Roman"/>
          <w:b/>
          <w:color w:val="000000"/>
          <w:spacing w:val="1"/>
          <w:lang w:eastAsia="ru-RU"/>
        </w:rPr>
        <w:t xml:space="preserve">ОСНОВНОЙ </w:t>
      </w:r>
      <w:r w:rsidRPr="00484AF1">
        <w:rPr>
          <w:rFonts w:ascii="Times New Roman" w:eastAsia="Times New Roman" w:hAnsi="Times New Roman"/>
          <w:b/>
          <w:color w:val="000000"/>
          <w:spacing w:val="1"/>
          <w:lang w:eastAsia="ru-RU"/>
        </w:rPr>
        <w:t>НОМИНАЦИИ (для участников с проживанием):</w:t>
      </w:r>
    </w:p>
    <w:p w:rsidR="006E4DCA" w:rsidRPr="00484AF1" w:rsidRDefault="006E4DCA" w:rsidP="006E4DCA">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Солист/дуэт – 1 000 рублей с человека;</w:t>
      </w:r>
    </w:p>
    <w:p w:rsidR="006E4DCA" w:rsidRDefault="006E4DCA" w:rsidP="006E4DCA">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для остальных участников – 800 рублей с человека.</w:t>
      </w:r>
    </w:p>
    <w:p w:rsidR="006E4DCA" w:rsidRDefault="006E4DCA">
      <w:pPr>
        <w:shd w:val="clear" w:color="auto" w:fill="FFFFFF"/>
        <w:rPr>
          <w:rFonts w:ascii="Times New Roman" w:hAnsi="Times New Roman"/>
          <w:b/>
          <w:bCs/>
          <w:color w:val="000000"/>
          <w:spacing w:val="1"/>
          <w:sz w:val="24"/>
          <w:szCs w:val="24"/>
          <w:lang w:eastAsia="ru-RU"/>
        </w:rPr>
      </w:pPr>
    </w:p>
    <w:p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r w:rsidR="00BE2D0E">
        <w:rPr>
          <w:rFonts w:ascii="Times New Roman" w:hAnsi="Times New Roman"/>
          <w:b/>
          <w:bCs/>
          <w:color w:val="000000"/>
          <w:spacing w:val="1"/>
          <w:sz w:val="24"/>
          <w:szCs w:val="24"/>
          <w:lang w:eastAsia="ru-RU"/>
        </w:rPr>
        <w:t xml:space="preserve"> </w:t>
      </w:r>
      <w:r w:rsidR="00BE2D0E" w:rsidRPr="00BE2D0E">
        <w:rPr>
          <w:rFonts w:ascii="Times New Roman" w:hAnsi="Times New Roman"/>
          <w:b/>
          <w:bCs/>
          <w:color w:val="000000"/>
          <w:spacing w:val="1"/>
          <w:sz w:val="24"/>
          <w:szCs w:val="24"/>
          <w:lang w:eastAsia="ru-RU"/>
        </w:rPr>
        <w:t>В случае отмены конкурса в силу форс-мажорных обстоятельств, регистрация заявки в размере 5% от стоимости участия не возвращается.</w:t>
      </w:r>
    </w:p>
    <w:p w:rsidR="00715C84" w:rsidRDefault="008450A2" w:rsidP="008D1543">
      <w:pPr>
        <w:shd w:val="clear" w:color="auto" w:fill="FFFFFF"/>
        <w:jc w:val="both"/>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lastRenderedPageBreak/>
        <w:drawing>
          <wp:inline distT="0" distB="0" distL="0" distR="0">
            <wp:extent cx="3604895" cy="20262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cstate="print"/>
                    <a:srcRect l="-9" t="-17" r="-9" b="-17"/>
                    <a:stretch>
                      <a:fillRect/>
                    </a:stretch>
                  </pic:blipFill>
                  <pic:spPr bwMode="auto">
                    <a:xfrm>
                      <a:off x="0" y="0"/>
                      <a:ext cx="3604895" cy="2026285"/>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cstate="print"/>
                    <a:srcRect l="-11" t="-17" r="-11" b="-17"/>
                    <a:stretch>
                      <a:fillRect/>
                    </a:stretch>
                  </pic:blipFill>
                  <pic:spPr bwMode="auto">
                    <a:xfrm>
                      <a:off x="0" y="0"/>
                      <a:ext cx="3173730" cy="2045335"/>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C669E5">
        <w:rPr>
          <w:rFonts w:ascii="Times New Roman" w:eastAsia="Times New Roman" w:hAnsi="Times New Roman"/>
          <w:color w:val="000000"/>
          <w:spacing w:val="1"/>
          <w:sz w:val="24"/>
          <w:szCs w:val="24"/>
          <w:lang w:eastAsia="ru-RU"/>
        </w:rPr>
        <w:t>20</w:t>
      </w:r>
      <w:r w:rsidR="008D1543">
        <w:rPr>
          <w:rFonts w:ascii="Times New Roman" w:eastAsia="Times New Roman" w:hAnsi="Times New Roman"/>
          <w:color w:val="000000"/>
          <w:spacing w:val="1"/>
          <w:sz w:val="24"/>
          <w:szCs w:val="24"/>
          <w:lang w:eastAsia="ru-RU"/>
        </w:rPr>
        <w:t xml:space="preserve"> </w:t>
      </w:r>
      <w:r w:rsidR="00C669E5">
        <w:rPr>
          <w:rFonts w:ascii="Times New Roman" w:eastAsia="Times New Roman" w:hAnsi="Times New Roman"/>
          <w:color w:val="000000"/>
          <w:spacing w:val="1"/>
          <w:sz w:val="24"/>
          <w:szCs w:val="24"/>
          <w:lang w:eastAsia="ru-RU"/>
        </w:rPr>
        <w:t>апреля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mir</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na</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ladoni</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rsidP="008D1543">
      <w:pPr>
        <w:shd w:val="clear" w:color="auto" w:fill="FFFFFF"/>
        <w:spacing w:after="0" w:line="240" w:lineRule="auto"/>
        <w:jc w:val="both"/>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трансферов и обзорной экскурсии.</w:t>
      </w:r>
    </w:p>
    <w:p w:rsidR="00715C84" w:rsidRDefault="008450A2" w:rsidP="008D1543">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Заявки на трансфер и обзорную экскурсию принимаются не позднее, чем за 3 недели до начала фестиваля. </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lastRenderedPageBreak/>
        <w:t>Для организации трансфера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 и заполненную таблицу с данными приезжающих и указанием, кто с к</w:t>
      </w:r>
      <w:r w:rsidR="002B40B6">
        <w:rPr>
          <w:rFonts w:ascii="Times New Roman" w:eastAsia="Times New Roman" w:hAnsi="Times New Roman"/>
          <w:color w:val="000000"/>
          <w:spacing w:val="1"/>
          <w:sz w:val="24"/>
          <w:szCs w:val="24"/>
          <w:lang w:eastAsia="ru-RU"/>
        </w:rPr>
        <w:t>ем будет сидеть в автобусе. Так</w:t>
      </w:r>
      <w:r>
        <w:rPr>
          <w:rFonts w:ascii="Times New Roman" w:eastAsia="Times New Roman" w:hAnsi="Times New Roman"/>
          <w:color w:val="000000"/>
          <w:spacing w:val="1"/>
          <w:sz w:val="24"/>
          <w:szCs w:val="24"/>
          <w:lang w:eastAsia="ru-RU"/>
        </w:rPr>
        <w:t>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499"/>
        <w:gridCol w:w="3522"/>
        <w:gridCol w:w="1514"/>
        <w:gridCol w:w="1061"/>
        <w:gridCol w:w="2026"/>
        <w:gridCol w:w="1134"/>
        <w:gridCol w:w="1450"/>
      </w:tblGrid>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Позднее, чем за 3 недели до начала фестиваля, внесение изменений в данные приезда-отъезда, списки на трансферы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г.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.00. Трансфер в аэропорт/ на ж</w:t>
      </w:r>
      <w:r w:rsidR="0021059D" w:rsidRPr="0021059D">
        <w:rPr>
          <w:rFonts w:ascii="Times New Roman" w:eastAsia="Times New Roman" w:hAnsi="Times New Roman"/>
          <w:color w:val="000000"/>
          <w:spacing w:val="1"/>
          <w:sz w:val="24"/>
          <w:szCs w:val="24"/>
          <w:lang w:eastAsia="ru-RU"/>
        </w:rPr>
        <w:t>/</w:t>
      </w:r>
      <w:r w:rsidR="0021059D">
        <w:rPr>
          <w:rFonts w:ascii="Times New Roman" w:eastAsia="Times New Roman" w:hAnsi="Times New Roman"/>
          <w:color w:val="000000"/>
          <w:spacing w:val="1"/>
          <w:sz w:val="24"/>
          <w:szCs w:val="24"/>
          <w:lang w:eastAsia="ru-RU"/>
        </w:rPr>
        <w:t>д</w:t>
      </w:r>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10">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r>
        <w:rPr>
          <w:rFonts w:ascii="Times New Roman" w:eastAsia="Times New Roman" w:hAnsi="Times New Roman"/>
          <w:b/>
          <w:bCs/>
          <w:color w:val="000000"/>
          <w:spacing w:val="1"/>
          <w:sz w:val="24"/>
          <w:szCs w:val="24"/>
          <w:lang w:eastAsia="ru-RU"/>
        </w:rPr>
        <w:t>WhatsApp/Vider:</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11"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r>
        <w:rPr>
          <w:rFonts w:ascii="Times New Roman" w:eastAsia="Times New Roman" w:hAnsi="Times New Roman"/>
          <w:b/>
          <w:bCs/>
          <w:color w:val="000000"/>
          <w:spacing w:val="1"/>
          <w:sz w:val="24"/>
          <w:szCs w:val="24"/>
          <w:lang w:eastAsia="ru-RU"/>
        </w:rPr>
        <w:t>Вконтакте: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r>
        <w:rPr>
          <w:rFonts w:ascii="Times New Roman" w:eastAsia="Times New Roman" w:hAnsi="Times New Roman"/>
          <w:b/>
          <w:bCs/>
          <w:color w:val="000000"/>
          <w:spacing w:val="1"/>
          <w:sz w:val="24"/>
          <w:szCs w:val="24"/>
          <w:lang w:eastAsia="ru-RU"/>
        </w:rPr>
        <w:t>Инстаграм: </w:t>
      </w:r>
      <w:r>
        <w:rPr>
          <w:rFonts w:ascii="Times New Roman" w:eastAsia="Times New Roman" w:hAnsi="Times New Roman"/>
          <w:color w:val="000000"/>
          <w:spacing w:val="1"/>
          <w:sz w:val="24"/>
          <w:szCs w:val="24"/>
          <w:lang w:eastAsia="ru-RU"/>
        </w:rPr>
        <w:t>konkurs.festival</w:t>
      </w:r>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620012, г. Екатеринбург, ул. Машиностроителей, д. 19, оф.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08"/>
  <w:characterSpacingControl w:val="doNotCompress"/>
  <w:compat>
    <w:compatSetting w:name="compatibilityMode" w:uri="http://schemas.microsoft.com/office/word" w:val="12"/>
  </w:compat>
  <w:rsids>
    <w:rsidRoot w:val="1BE18E83"/>
    <w:rsid w:val="00097426"/>
    <w:rsid w:val="000A45AA"/>
    <w:rsid w:val="000C475A"/>
    <w:rsid w:val="001A4337"/>
    <w:rsid w:val="0021059D"/>
    <w:rsid w:val="002B40B6"/>
    <w:rsid w:val="003077A8"/>
    <w:rsid w:val="00317650"/>
    <w:rsid w:val="003820CB"/>
    <w:rsid w:val="00382F3D"/>
    <w:rsid w:val="00386093"/>
    <w:rsid w:val="003C673A"/>
    <w:rsid w:val="00477B90"/>
    <w:rsid w:val="004F0614"/>
    <w:rsid w:val="00684925"/>
    <w:rsid w:val="006E4DCA"/>
    <w:rsid w:val="00702E1B"/>
    <w:rsid w:val="00715C84"/>
    <w:rsid w:val="00726495"/>
    <w:rsid w:val="00753742"/>
    <w:rsid w:val="008450A2"/>
    <w:rsid w:val="00863FBB"/>
    <w:rsid w:val="0086615C"/>
    <w:rsid w:val="008D1543"/>
    <w:rsid w:val="008E38B5"/>
    <w:rsid w:val="00965086"/>
    <w:rsid w:val="00AA540B"/>
    <w:rsid w:val="00AE2BAF"/>
    <w:rsid w:val="00B0143D"/>
    <w:rsid w:val="00B33717"/>
    <w:rsid w:val="00B77815"/>
    <w:rsid w:val="00BB6774"/>
    <w:rsid w:val="00BE2D0E"/>
    <w:rsid w:val="00BF2509"/>
    <w:rsid w:val="00C669E5"/>
    <w:rsid w:val="00D144A0"/>
    <w:rsid w:val="00D53685"/>
    <w:rsid w:val="00DB2995"/>
    <w:rsid w:val="00DE6335"/>
    <w:rsid w:val="00E551EE"/>
    <w:rsid w:val="00E82C25"/>
    <w:rsid w:val="00F031DE"/>
    <w:rsid w:val="00FF3712"/>
    <w:rsid w:val="1BE18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ltaintourist.ru/meetings_conferences/khrustalny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hyperlink" Target="mailto:piligrym_tur@mail.ru" TargetMode="External"/><Relationship Id="rId5" Type="http://schemas.openxmlformats.org/officeDocument/2006/relationships/image" Target="media/image1.jpeg"/><Relationship Id="rId10" Type="http://schemas.openxmlformats.org/officeDocument/2006/relationships/hyperlink" Target="https://www.mir-na-ladon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PILIGRIM2</cp:lastModifiedBy>
  <cp:revision>2</cp:revision>
  <dcterms:created xsi:type="dcterms:W3CDTF">2020-11-20T08:10:00Z</dcterms:created>
  <dcterms:modified xsi:type="dcterms:W3CDTF">2020-11-20T08:10:00Z</dcterms:modified>
  <dc:language>en-US</dc:language>
</cp:coreProperties>
</file>